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50F" w:rsidRDefault="003C26A2">
      <w:pPr>
        <w:tabs>
          <w:tab w:val="left" w:pos="2347"/>
          <w:tab w:val="left" w:pos="3782"/>
          <w:tab w:val="left" w:pos="7939"/>
        </w:tabs>
        <w:ind w:left="11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65661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661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1111177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7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50F" w:rsidRDefault="0063250F">
      <w:pPr>
        <w:pStyle w:val="Corpsdetexte"/>
        <w:ind w:left="0" w:firstLine="0"/>
        <w:rPr>
          <w:rFonts w:ascii="Times New Roman"/>
          <w:sz w:val="20"/>
        </w:rPr>
      </w:pPr>
    </w:p>
    <w:p w:rsidR="0063250F" w:rsidRDefault="0063250F">
      <w:pPr>
        <w:pStyle w:val="Corpsdetexte"/>
        <w:ind w:left="0" w:firstLine="0"/>
        <w:rPr>
          <w:rFonts w:ascii="Times New Roman"/>
          <w:sz w:val="20"/>
        </w:rPr>
      </w:pPr>
    </w:p>
    <w:p w:rsidR="0063250F" w:rsidRDefault="0063250F">
      <w:pPr>
        <w:pStyle w:val="Corpsdetexte"/>
        <w:ind w:left="0" w:firstLine="0"/>
        <w:rPr>
          <w:rFonts w:ascii="Times New Roman"/>
          <w:sz w:val="20"/>
        </w:rPr>
      </w:pPr>
    </w:p>
    <w:p w:rsidR="0063250F" w:rsidRDefault="0063250F">
      <w:pPr>
        <w:pStyle w:val="Corpsdetexte"/>
        <w:ind w:left="0" w:firstLine="0"/>
        <w:rPr>
          <w:rFonts w:ascii="Times New Roman"/>
          <w:sz w:val="20"/>
        </w:rPr>
      </w:pPr>
    </w:p>
    <w:p w:rsidR="0063250F" w:rsidRDefault="003C26A2">
      <w:pPr>
        <w:pStyle w:val="Titre"/>
      </w:pPr>
      <w:r>
        <w:rPr>
          <w:color w:val="4F81BD"/>
        </w:rPr>
        <w:t>SESSÃO 3: RESPOSTA E RESPONSABILIDADE</w:t>
      </w:r>
    </w:p>
    <w:p w:rsidR="0063250F" w:rsidRDefault="003C26A2">
      <w:pPr>
        <w:pStyle w:val="Corpsdetexte"/>
        <w:spacing w:before="291"/>
        <w:ind w:left="113" w:firstLine="0"/>
      </w:pPr>
      <w:r>
        <w:rPr>
          <w:color w:val="595959"/>
        </w:rPr>
        <w:t>POTENCIAIS DESAFIOS À PREVENÇÃO DA DESLOCAÇÃO E RESPOSTAS À MESMA</w:t>
      </w:r>
    </w:p>
    <w:p w:rsidR="0063250F" w:rsidRDefault="0063250F">
      <w:pPr>
        <w:pStyle w:val="Corpsdetexte"/>
        <w:ind w:left="0" w:firstLine="0"/>
        <w:rPr>
          <w:sz w:val="28"/>
        </w:rPr>
      </w:pPr>
      <w:bookmarkStart w:id="0" w:name="_GoBack"/>
      <w:bookmarkEnd w:id="0"/>
    </w:p>
    <w:p w:rsidR="0063250F" w:rsidRDefault="0063250F">
      <w:pPr>
        <w:pStyle w:val="Corpsdetexte"/>
        <w:spacing w:before="9"/>
        <w:ind w:left="0" w:firstLine="0"/>
        <w:rPr>
          <w:sz w:val="25"/>
        </w:rPr>
      </w:pPr>
    </w:p>
    <w:p w:rsidR="0063250F" w:rsidRDefault="003C26A2">
      <w:pPr>
        <w:pStyle w:val="Paragraphedeliste"/>
        <w:numPr>
          <w:ilvl w:val="0"/>
          <w:numId w:val="1"/>
        </w:numPr>
        <w:tabs>
          <w:tab w:val="left" w:pos="539"/>
          <w:tab w:val="left" w:pos="540"/>
        </w:tabs>
        <w:ind w:right="0" w:hanging="427"/>
        <w:rPr>
          <w:sz w:val="24"/>
        </w:rPr>
      </w:pPr>
      <w:r>
        <w:rPr>
          <w:sz w:val="24"/>
        </w:rPr>
        <w:t>Falta de reconhecimento ou reconhecimento insuficiente do problema.</w:t>
      </w:r>
    </w:p>
    <w:p w:rsidR="0063250F" w:rsidRDefault="003C26A2">
      <w:pPr>
        <w:pStyle w:val="Paragraphedeliste"/>
        <w:numPr>
          <w:ilvl w:val="0"/>
          <w:numId w:val="1"/>
        </w:numPr>
        <w:tabs>
          <w:tab w:val="left" w:pos="539"/>
          <w:tab w:val="left" w:pos="540"/>
        </w:tabs>
        <w:spacing w:before="43" w:line="276" w:lineRule="auto"/>
        <w:rPr>
          <w:sz w:val="24"/>
        </w:rPr>
      </w:pPr>
      <w:r>
        <w:rPr>
          <w:sz w:val="24"/>
        </w:rPr>
        <w:t>Compreensão insuficiente do fenómeno e do tipo de resposta necessária - causas, relações causais e abordagem orientada para soluções.</w:t>
      </w:r>
    </w:p>
    <w:p w:rsidR="0063250F" w:rsidRDefault="003C26A2">
      <w:pPr>
        <w:pStyle w:val="Paragraphedeliste"/>
        <w:numPr>
          <w:ilvl w:val="0"/>
          <w:numId w:val="1"/>
        </w:numPr>
        <w:tabs>
          <w:tab w:val="left" w:pos="539"/>
          <w:tab w:val="left" w:pos="540"/>
        </w:tabs>
        <w:spacing w:before="3" w:line="276" w:lineRule="auto"/>
        <w:rPr>
          <w:sz w:val="24"/>
        </w:rPr>
      </w:pPr>
      <w:r>
        <w:rPr>
          <w:sz w:val="24"/>
        </w:rPr>
        <w:t xml:space="preserve">Informação insuficiente sobre as PDI e outras pessoas afetadas pela deslocação - número, idade, género, local, padrões de </w:t>
      </w:r>
      <w:r>
        <w:rPr>
          <w:sz w:val="24"/>
        </w:rPr>
        <w:t>deslocação e pessoas que vivem fora dos campos.</w:t>
      </w:r>
    </w:p>
    <w:p w:rsidR="0063250F" w:rsidRDefault="003C26A2">
      <w:pPr>
        <w:pStyle w:val="Paragraphedeliste"/>
        <w:numPr>
          <w:ilvl w:val="0"/>
          <w:numId w:val="1"/>
        </w:numPr>
        <w:tabs>
          <w:tab w:val="left" w:pos="539"/>
          <w:tab w:val="left" w:pos="540"/>
        </w:tabs>
        <w:spacing w:line="291" w:lineRule="exact"/>
        <w:ind w:right="0" w:hanging="427"/>
        <w:rPr>
          <w:sz w:val="24"/>
        </w:rPr>
      </w:pPr>
      <w:r>
        <w:rPr>
          <w:sz w:val="24"/>
        </w:rPr>
        <w:t>Incumprimento das normas e instrumentos internacionais.</w:t>
      </w:r>
    </w:p>
    <w:p w:rsidR="0063250F" w:rsidRDefault="003C26A2">
      <w:pPr>
        <w:pStyle w:val="Paragraphedeliste"/>
        <w:numPr>
          <w:ilvl w:val="0"/>
          <w:numId w:val="1"/>
        </w:numPr>
        <w:tabs>
          <w:tab w:val="left" w:pos="539"/>
          <w:tab w:val="left" w:pos="540"/>
        </w:tabs>
        <w:spacing w:before="43"/>
        <w:ind w:right="0" w:hanging="427"/>
        <w:rPr>
          <w:sz w:val="24"/>
        </w:rPr>
      </w:pPr>
      <w:r>
        <w:rPr>
          <w:sz w:val="24"/>
        </w:rPr>
        <w:t>Conhecimento insuficiente das instituições em relação às normas que regem a proteção das PDI.</w:t>
      </w:r>
    </w:p>
    <w:p w:rsidR="0063250F" w:rsidRDefault="003C26A2">
      <w:pPr>
        <w:pStyle w:val="Paragraphedeliste"/>
        <w:numPr>
          <w:ilvl w:val="0"/>
          <w:numId w:val="1"/>
        </w:numPr>
        <w:tabs>
          <w:tab w:val="left" w:pos="539"/>
          <w:tab w:val="left" w:pos="540"/>
        </w:tabs>
        <w:spacing w:before="43"/>
        <w:ind w:right="0" w:hanging="427"/>
        <w:rPr>
          <w:sz w:val="24"/>
        </w:rPr>
      </w:pPr>
      <w:r>
        <w:rPr>
          <w:sz w:val="24"/>
        </w:rPr>
        <w:t>Falta de um quadro ou legislação sobre as deslocações internas.</w:t>
      </w:r>
    </w:p>
    <w:p w:rsidR="0063250F" w:rsidRDefault="003C26A2">
      <w:pPr>
        <w:pStyle w:val="Paragraphedeliste"/>
        <w:numPr>
          <w:ilvl w:val="0"/>
          <w:numId w:val="1"/>
        </w:numPr>
        <w:tabs>
          <w:tab w:val="left" w:pos="540"/>
        </w:tabs>
        <w:spacing w:before="48" w:line="276" w:lineRule="auto"/>
        <w:ind w:right="111"/>
        <w:jc w:val="both"/>
        <w:rPr>
          <w:sz w:val="24"/>
        </w:rPr>
      </w:pPr>
      <w:r>
        <w:rPr>
          <w:sz w:val="24"/>
        </w:rPr>
        <w:t>Quadros contraditórios relevantes para a deslocação e que criam normas legislativas inconsistentes</w:t>
      </w:r>
      <w:r>
        <w:rPr>
          <w:sz w:val="24"/>
        </w:rPr>
        <w:t xml:space="preserve"> que não são estão forçosamente em conformidade com os Princípios Orientadores, nem com a Convenção de Kampala.</w:t>
      </w:r>
    </w:p>
    <w:p w:rsidR="0063250F" w:rsidRDefault="003C26A2">
      <w:pPr>
        <w:pStyle w:val="Paragraphedeliste"/>
        <w:numPr>
          <w:ilvl w:val="0"/>
          <w:numId w:val="1"/>
        </w:numPr>
        <w:tabs>
          <w:tab w:val="left" w:pos="540"/>
        </w:tabs>
        <w:spacing w:line="278" w:lineRule="auto"/>
        <w:jc w:val="both"/>
        <w:rPr>
          <w:sz w:val="24"/>
        </w:rPr>
      </w:pPr>
      <w:r>
        <w:rPr>
          <w:sz w:val="24"/>
        </w:rPr>
        <w:t>Falta de clareza na responsabilidade institucional pelas respostas ao nível local e nacional - nenhum ponto focal, má coordenação entre as ONG e</w:t>
      </w:r>
      <w:r>
        <w:rPr>
          <w:sz w:val="24"/>
        </w:rPr>
        <w:t xml:space="preserve"> o governo local, falta de capacidade local para monitorizar a deslocação e falta de soluções duradouras.</w:t>
      </w:r>
    </w:p>
    <w:p w:rsidR="0063250F" w:rsidRDefault="003C26A2">
      <w:pPr>
        <w:pStyle w:val="Paragraphedeliste"/>
        <w:numPr>
          <w:ilvl w:val="0"/>
          <w:numId w:val="1"/>
        </w:numPr>
        <w:tabs>
          <w:tab w:val="left" w:pos="540"/>
        </w:tabs>
        <w:spacing w:line="276" w:lineRule="auto"/>
        <w:jc w:val="both"/>
        <w:rPr>
          <w:sz w:val="24"/>
        </w:rPr>
      </w:pPr>
      <w:r>
        <w:rPr>
          <w:sz w:val="24"/>
        </w:rPr>
        <w:t>Falta de participação das PDI, OSCs, comunidades de acolhimento e outras pessoas afetadas pela deslocação nos processos de tomada de decisões.</w:t>
      </w:r>
    </w:p>
    <w:p w:rsidR="0063250F" w:rsidRDefault="003C26A2">
      <w:pPr>
        <w:pStyle w:val="Paragraphedeliste"/>
        <w:numPr>
          <w:ilvl w:val="0"/>
          <w:numId w:val="1"/>
        </w:numPr>
        <w:tabs>
          <w:tab w:val="left" w:pos="540"/>
        </w:tabs>
        <w:spacing w:line="276" w:lineRule="auto"/>
        <w:jc w:val="both"/>
        <w:rPr>
          <w:sz w:val="24"/>
        </w:rPr>
      </w:pPr>
      <w:r>
        <w:rPr>
          <w:sz w:val="24"/>
        </w:rPr>
        <w:t>Existên</w:t>
      </w:r>
      <w:r>
        <w:rPr>
          <w:sz w:val="24"/>
        </w:rPr>
        <w:t>cia de políticas ou práticas que discriminam indireta ou involuntariamente as PDI ou criam obstáculos ao exercício dos seus direitos.</w:t>
      </w:r>
    </w:p>
    <w:p w:rsidR="0063250F" w:rsidRDefault="003C26A2">
      <w:pPr>
        <w:pStyle w:val="Paragraphedeliste"/>
        <w:numPr>
          <w:ilvl w:val="0"/>
          <w:numId w:val="1"/>
        </w:numPr>
        <w:tabs>
          <w:tab w:val="left" w:pos="540"/>
        </w:tabs>
        <w:spacing w:line="276" w:lineRule="auto"/>
        <w:jc w:val="both"/>
        <w:rPr>
          <w:sz w:val="24"/>
        </w:rPr>
      </w:pPr>
      <w:r>
        <w:rPr>
          <w:sz w:val="24"/>
        </w:rPr>
        <w:t>Impunidade e falta de responsabilização pela deslocação - monitorização, avaliação do impacto e responsabilidade penal.</w:t>
      </w:r>
    </w:p>
    <w:p w:rsidR="0063250F" w:rsidRDefault="003C26A2">
      <w:pPr>
        <w:pStyle w:val="Paragraphedeliste"/>
        <w:numPr>
          <w:ilvl w:val="0"/>
          <w:numId w:val="1"/>
        </w:numPr>
        <w:tabs>
          <w:tab w:val="left" w:pos="540"/>
        </w:tabs>
        <w:spacing w:line="291" w:lineRule="exact"/>
        <w:ind w:right="0" w:hanging="427"/>
        <w:jc w:val="both"/>
        <w:rPr>
          <w:sz w:val="24"/>
        </w:rPr>
      </w:pPr>
      <w:r>
        <w:rPr>
          <w:sz w:val="24"/>
        </w:rPr>
        <w:t>Re</w:t>
      </w:r>
      <w:r>
        <w:rPr>
          <w:sz w:val="24"/>
        </w:rPr>
        <w:t>cursos insuficientes, linhas orçamentais indefinidas e atribuição inadequada de recursos às PDI.</w:t>
      </w:r>
    </w:p>
    <w:p w:rsidR="0063250F" w:rsidRDefault="003C26A2">
      <w:pPr>
        <w:pStyle w:val="Paragraphedeliste"/>
        <w:numPr>
          <w:ilvl w:val="0"/>
          <w:numId w:val="1"/>
        </w:numPr>
        <w:tabs>
          <w:tab w:val="left" w:pos="540"/>
        </w:tabs>
        <w:spacing w:before="35" w:line="276" w:lineRule="auto"/>
        <w:jc w:val="both"/>
        <w:rPr>
          <w:sz w:val="24"/>
        </w:rPr>
      </w:pPr>
      <w:r>
        <w:rPr>
          <w:sz w:val="24"/>
        </w:rPr>
        <w:t>Falta de controlo do governo sobre o território que limita o acesso às PDI - presença de grupos armados e conflito contínuo.</w:t>
      </w:r>
    </w:p>
    <w:p w:rsidR="0063250F" w:rsidRDefault="003C26A2">
      <w:pPr>
        <w:pStyle w:val="Paragraphedeliste"/>
        <w:numPr>
          <w:ilvl w:val="0"/>
          <w:numId w:val="1"/>
        </w:numPr>
        <w:tabs>
          <w:tab w:val="left" w:pos="540"/>
        </w:tabs>
        <w:spacing w:line="278" w:lineRule="auto"/>
        <w:ind w:right="111"/>
        <w:jc w:val="both"/>
        <w:rPr>
          <w:sz w:val="24"/>
        </w:rPr>
      </w:pPr>
      <w:r>
        <w:rPr>
          <w:sz w:val="24"/>
        </w:rPr>
        <w:t xml:space="preserve">Disputas de terras não resolvidas </w:t>
      </w:r>
      <w:r>
        <w:rPr>
          <w:sz w:val="24"/>
        </w:rPr>
        <w:t>- regime legal inadequado, direitos individuais em comparação com direitos coletivos, falta de garantias da propriedade fundiária das mulheres, lacunas no registo das terras e falta de um sistema de registo de terras.</w:t>
      </w:r>
    </w:p>
    <w:p w:rsidR="0063250F" w:rsidRDefault="003C26A2">
      <w:pPr>
        <w:pStyle w:val="Paragraphedeliste"/>
        <w:numPr>
          <w:ilvl w:val="0"/>
          <w:numId w:val="1"/>
        </w:numPr>
        <w:tabs>
          <w:tab w:val="left" w:pos="540"/>
        </w:tabs>
        <w:spacing w:line="276" w:lineRule="auto"/>
        <w:ind w:right="111"/>
        <w:jc w:val="both"/>
        <w:rPr>
          <w:sz w:val="24"/>
        </w:rPr>
      </w:pPr>
      <w:r>
        <w:rPr>
          <w:sz w:val="24"/>
        </w:rPr>
        <w:t>Acesso inadequado aos serviços - escas</w:t>
      </w:r>
      <w:r>
        <w:rPr>
          <w:sz w:val="24"/>
        </w:rPr>
        <w:t>sez de pontos de serviço, má qualidade de serviços, falta de rendimento local, má relação entre o governo central e local, corrupção e interferência política.</w:t>
      </w:r>
    </w:p>
    <w:p w:rsidR="0063250F" w:rsidRDefault="003C26A2">
      <w:pPr>
        <w:pStyle w:val="Paragraphedeliste"/>
        <w:numPr>
          <w:ilvl w:val="0"/>
          <w:numId w:val="1"/>
        </w:numPr>
        <w:tabs>
          <w:tab w:val="left" w:pos="540"/>
        </w:tabs>
        <w:spacing w:line="271" w:lineRule="auto"/>
        <w:jc w:val="both"/>
        <w:rPr>
          <w:sz w:val="24"/>
        </w:rPr>
      </w:pPr>
      <w:r>
        <w:rPr>
          <w:sz w:val="24"/>
        </w:rPr>
        <w:t>Falta de inadequação às políticas de RRC - códigos de construção fracos, incumprimento dos regulamentos de planeamento e ausência de mecanismos de alerta precoce.</w:t>
      </w:r>
    </w:p>
    <w:sectPr w:rsidR="0063250F">
      <w:type w:val="continuous"/>
      <w:pgSz w:w="11900" w:h="16820"/>
      <w:pgMar w:top="90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AA5F49"/>
    <w:multiLevelType w:val="hybridMultilevel"/>
    <w:tmpl w:val="999C9A4C"/>
    <w:lvl w:ilvl="0" w:tplc="DDBABD92">
      <w:start w:val="1"/>
      <w:numFmt w:val="decimal"/>
      <w:lvlText w:val="%1."/>
      <w:lvlJc w:val="left"/>
      <w:pPr>
        <w:ind w:left="539" w:hanging="426"/>
        <w:jc w:val="left"/>
      </w:pPr>
      <w:rPr>
        <w:rFonts w:ascii="Calibri" w:eastAsia="Calibri" w:hAnsi="Calibri" w:cs="Calibri" w:hint="default"/>
        <w:color w:val="1F497D"/>
        <w:w w:val="100"/>
        <w:sz w:val="24"/>
        <w:szCs w:val="24"/>
      </w:rPr>
    </w:lvl>
    <w:lvl w:ilvl="1" w:tplc="1E701A9A">
      <w:numFmt w:val="bullet"/>
      <w:lvlText w:val="•"/>
      <w:lvlJc w:val="left"/>
      <w:pPr>
        <w:ind w:left="1416" w:hanging="426"/>
      </w:pPr>
      <w:rPr>
        <w:rFonts w:hint="default"/>
      </w:rPr>
    </w:lvl>
    <w:lvl w:ilvl="2" w:tplc="ED0C8CFA">
      <w:numFmt w:val="bullet"/>
      <w:lvlText w:val="•"/>
      <w:lvlJc w:val="left"/>
      <w:pPr>
        <w:ind w:left="2292" w:hanging="426"/>
      </w:pPr>
      <w:rPr>
        <w:rFonts w:hint="default"/>
      </w:rPr>
    </w:lvl>
    <w:lvl w:ilvl="3" w:tplc="F1C01BF8">
      <w:numFmt w:val="bullet"/>
      <w:lvlText w:val="•"/>
      <w:lvlJc w:val="left"/>
      <w:pPr>
        <w:ind w:left="3168" w:hanging="426"/>
      </w:pPr>
      <w:rPr>
        <w:rFonts w:hint="default"/>
      </w:rPr>
    </w:lvl>
    <w:lvl w:ilvl="4" w:tplc="4DBEE80E">
      <w:numFmt w:val="bullet"/>
      <w:lvlText w:val="•"/>
      <w:lvlJc w:val="left"/>
      <w:pPr>
        <w:ind w:left="4044" w:hanging="426"/>
      </w:pPr>
      <w:rPr>
        <w:rFonts w:hint="default"/>
      </w:rPr>
    </w:lvl>
    <w:lvl w:ilvl="5" w:tplc="0CCA12C2">
      <w:numFmt w:val="bullet"/>
      <w:lvlText w:val="•"/>
      <w:lvlJc w:val="left"/>
      <w:pPr>
        <w:ind w:left="4920" w:hanging="426"/>
      </w:pPr>
      <w:rPr>
        <w:rFonts w:hint="default"/>
      </w:rPr>
    </w:lvl>
    <w:lvl w:ilvl="6" w:tplc="02501FFE">
      <w:numFmt w:val="bullet"/>
      <w:lvlText w:val="•"/>
      <w:lvlJc w:val="left"/>
      <w:pPr>
        <w:ind w:left="5796" w:hanging="426"/>
      </w:pPr>
      <w:rPr>
        <w:rFonts w:hint="default"/>
      </w:rPr>
    </w:lvl>
    <w:lvl w:ilvl="7" w:tplc="B0BA713A">
      <w:numFmt w:val="bullet"/>
      <w:lvlText w:val="•"/>
      <w:lvlJc w:val="left"/>
      <w:pPr>
        <w:ind w:left="6672" w:hanging="426"/>
      </w:pPr>
      <w:rPr>
        <w:rFonts w:hint="default"/>
      </w:rPr>
    </w:lvl>
    <w:lvl w:ilvl="8" w:tplc="42CACC20">
      <w:numFmt w:val="bullet"/>
      <w:lvlText w:val="•"/>
      <w:lvlJc w:val="left"/>
      <w:pPr>
        <w:ind w:left="7548" w:hanging="42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50F"/>
    <w:rsid w:val="003C26A2"/>
    <w:rsid w:val="0063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F1EE2E-C42C-4FC2-92E8-641E05DE7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539" w:hanging="426"/>
    </w:pPr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218"/>
      <w:ind w:left="113"/>
    </w:pPr>
    <w:rPr>
      <w:sz w:val="48"/>
      <w:szCs w:val="48"/>
    </w:rPr>
  </w:style>
  <w:style w:type="paragraph" w:styleId="Paragraphedeliste">
    <w:name w:val="List Paragraph"/>
    <w:basedOn w:val="Normal"/>
    <w:uiPriority w:val="1"/>
    <w:qFormat/>
    <w:pPr>
      <w:ind w:left="539" w:right="112" w:hanging="426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2021-01-20T13:50:00Z</dcterms:created>
  <dcterms:modified xsi:type="dcterms:W3CDTF">2021-01-20T13:50:00Z</dcterms:modified>
</cp:coreProperties>
</file>